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Calibri" w:hAnsi="Calibri"/>
          <w:b/>
          <w:color w:val="075DAA"/>
          <w:sz w:val="20"/>
        </w:rPr>
        <w:t>VENCREAT</w:t>
      </w:r>
    </w:p>
    <w:p>
      <w:pPr>
        <w:spacing w:after="100"/>
      </w:pPr>
      <w:r>
        <w:rPr>
          <w:rFonts w:ascii="Calibri" w:hAnsi="Calibri"/>
          <w:b/>
          <w:color w:val="06264A"/>
          <w:sz w:val="50"/>
        </w:rPr>
        <w:t>AI Companion Hardware Platform</w:t>
      </w:r>
    </w:p>
    <w:p>
      <w:pPr>
        <w:spacing w:after="280"/>
      </w:pPr>
      <w:r>
        <w:rPr>
          <w:rFonts w:ascii="Calibri" w:hAnsi="Calibri"/>
          <w:b w:val="0"/>
          <w:color w:val="5D6B78"/>
          <w:sz w:val="22"/>
        </w:rPr>
        <w:t>English product overview | configuration subject to technical review</w:t>
      </w:r>
    </w:p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2926080" cy="292608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encreat-ai-companion-placehold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29260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64" w:lineRule="auto"/>
      </w:pPr>
      <w:r>
        <w:rPr>
          <w:rFonts w:ascii="Calibri" w:hAnsi="Calibri"/>
          <w:b/>
          <w:color w:val="075DAA"/>
          <w:sz w:val="28"/>
        </w:rPr>
        <w:t>Purpose</w:t>
      </w:r>
    </w:p>
    <w:p>
      <w:pPr>
        <w:spacing w:after="200" w:line="264" w:lineRule="auto"/>
      </w:pPr>
      <w:r>
        <w:rPr>
          <w:rFonts w:ascii="Calibri" w:hAnsi="Calibri"/>
          <w:b w:val="0"/>
          <w:color w:val="202020"/>
          <w:sz w:val="21"/>
        </w:rPr>
        <w:t>A configurable hardware direction for connected companion products, including desktop companions, speaking-practice devices, interactive collectibles and electronic badges.</w:t>
      </w:r>
    </w:p>
    <w:p>
      <w:pPr>
        <w:spacing w:after="100" w:line="264" w:lineRule="auto"/>
      </w:pPr>
      <w:r>
        <w:rPr>
          <w:rFonts w:ascii="Calibri" w:hAnsi="Calibri"/>
          <w:b/>
          <w:color w:val="075DAA"/>
          <w:sz w:val="28"/>
        </w:rPr>
        <w:t>Configuration at a glance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6768"/>
      </w:tblGrid>
      <w:tr>
        <w:tc>
          <w:tcPr>
            <w:tcW w:type="dxa" w:w="4896"/>
            <w:shd w:fill="EAF4FB"/>
          </w:tcPr>
          <w:p>
            <w:r>
              <w:rPr>
                <w:rFonts w:ascii="Calibri" w:hAnsi="Calibri"/>
                <w:b/>
                <w:color w:val="06264A"/>
                <w:sz w:val="19"/>
              </w:rPr>
              <w:t>Area</w:t>
            </w:r>
          </w:p>
        </w:tc>
        <w:tc>
          <w:tcPr>
            <w:tcW w:type="dxa" w:w="4896"/>
            <w:shd w:fill="EAF4FB"/>
          </w:tcPr>
          <w:p>
            <w:r>
              <w:rPr>
                <w:rFonts w:ascii="Calibri" w:hAnsi="Calibri"/>
                <w:b/>
                <w:color w:val="06264A"/>
                <w:sz w:val="19"/>
              </w:rPr>
              <w:t>Project review focus</w:t>
            </w:r>
          </w:p>
        </w:tc>
      </w:tr>
      <w:tr>
        <w:tc>
          <w:tcPr>
            <w:tcW w:type="dxa" w:w="2592"/>
            <w:vAlign w:val="center"/>
          </w:tcPr>
          <w:p>
            <w:r>
              <w:rPr>
                <w:rFonts w:ascii="Calibri" w:hAnsi="Calibri"/>
                <w:b/>
                <w:color w:val="06264A"/>
                <w:sz w:val="19"/>
              </w:rPr>
              <w:t>Connectivity</w:t>
            </w:r>
          </w:p>
        </w:tc>
        <w:tc>
          <w:tcPr>
            <w:tcW w:type="dxa" w:w="6768"/>
            <w:vAlign w:val="center"/>
          </w:tcPr>
          <w:p>
            <w:r>
              <w:rPr>
                <w:rFonts w:ascii="Calibri" w:hAnsi="Calibri"/>
                <w:b w:val="0"/>
                <w:color w:val="202020"/>
                <w:sz w:val="19"/>
              </w:rPr>
              <w:t>Wi-Fi or 4G is selected by deployment environment, account flow and support requirements.</w:t>
            </w:r>
          </w:p>
        </w:tc>
      </w:tr>
      <w:tr>
        <w:tc>
          <w:tcPr>
            <w:tcW w:type="dxa" w:w="2592"/>
            <w:vAlign w:val="center"/>
          </w:tcPr>
          <w:p>
            <w:r>
              <w:rPr>
                <w:rFonts w:ascii="Calibri" w:hAnsi="Calibri"/>
                <w:b/>
                <w:color w:val="06264A"/>
                <w:sz w:val="19"/>
              </w:rPr>
              <w:t>Interaction</w:t>
            </w:r>
          </w:p>
        </w:tc>
        <w:tc>
          <w:tcPr>
            <w:tcW w:type="dxa" w:w="6768"/>
            <w:vAlign w:val="center"/>
          </w:tcPr>
          <w:p>
            <w:r>
              <w:rPr>
                <w:rFonts w:ascii="Calibri" w:hAnsi="Calibri"/>
                <w:b w:val="0"/>
                <w:color w:val="202020"/>
                <w:sz w:val="19"/>
              </w:rPr>
              <w:t>Microphones, speaker, status indication and optional display or sensors are evaluated against the intended user experience.</w:t>
            </w:r>
          </w:p>
        </w:tc>
      </w:tr>
      <w:tr>
        <w:tc>
          <w:tcPr>
            <w:tcW w:type="dxa" w:w="2592"/>
            <w:vAlign w:val="center"/>
          </w:tcPr>
          <w:p>
            <w:r>
              <w:rPr>
                <w:rFonts w:ascii="Calibri" w:hAnsi="Calibri"/>
                <w:b/>
                <w:color w:val="06264A"/>
                <w:sz w:val="19"/>
              </w:rPr>
              <w:t>Power &amp; enclosure</w:t>
            </w:r>
          </w:p>
        </w:tc>
        <w:tc>
          <w:tcPr>
            <w:tcW w:type="dxa" w:w="6768"/>
            <w:vAlign w:val="center"/>
          </w:tcPr>
          <w:p>
            <w:r>
              <w:rPr>
                <w:rFonts w:ascii="Calibri" w:hAnsi="Calibri"/>
                <w:b w:val="0"/>
                <w:color w:val="202020"/>
                <w:sz w:val="19"/>
              </w:rPr>
              <w:t>Charging approach, operating conditions, enclosure constraints and serviceability are confirmed for the target product.</w:t>
            </w:r>
          </w:p>
        </w:tc>
      </w:tr>
      <w:tr>
        <w:tc>
          <w:tcPr>
            <w:tcW w:type="dxa" w:w="2592"/>
            <w:vAlign w:val="center"/>
          </w:tcPr>
          <w:p>
            <w:r>
              <w:rPr>
                <w:rFonts w:ascii="Calibri" w:hAnsi="Calibri"/>
                <w:b/>
                <w:color w:val="06264A"/>
                <w:sz w:val="19"/>
              </w:rPr>
              <w:t>Software readiness</w:t>
            </w:r>
          </w:p>
        </w:tc>
        <w:tc>
          <w:tcPr>
            <w:tcW w:type="dxa" w:w="6768"/>
            <w:vAlign w:val="center"/>
          </w:tcPr>
          <w:p>
            <w:r>
              <w:rPr>
                <w:rFonts w:ascii="Calibri" w:hAnsi="Calibri"/>
                <w:b w:val="0"/>
                <w:color w:val="202020"/>
                <w:sz w:val="19"/>
              </w:rPr>
              <w:t>Setup, recovery, content flow, account handling and remote support expectations are aligned before implementation.</w:t>
            </w:r>
          </w:p>
        </w:tc>
      </w:tr>
      <w:tr>
        <w:tc>
          <w:tcPr>
            <w:tcW w:type="dxa" w:w="2592"/>
            <w:vAlign w:val="center"/>
          </w:tcPr>
          <w:p>
            <w:r>
              <w:rPr>
                <w:rFonts w:ascii="Calibri" w:hAnsi="Calibri"/>
                <w:b/>
                <w:color w:val="06264A"/>
                <w:sz w:val="19"/>
              </w:rPr>
              <w:t>Final specification</w:t>
            </w:r>
          </w:p>
        </w:tc>
        <w:tc>
          <w:tcPr>
            <w:tcW w:type="dxa" w:w="6768"/>
            <w:vAlign w:val="center"/>
          </w:tcPr>
          <w:p>
            <w:r>
              <w:rPr>
                <w:rFonts w:ascii="Calibri" w:hAnsi="Calibri"/>
                <w:b w:val="0"/>
                <w:color w:val="202020"/>
                <w:sz w:val="19"/>
              </w:rPr>
              <w:t>Processor, memory, network module, interfaces, certified components and production requirements are confirmed during technical review.</w:t>
            </w:r>
          </w:p>
        </w:tc>
      </w:tr>
    </w:tbl>
    <w:p>
      <w:pPr>
        <w:spacing w:after="100" w:line="264" w:lineRule="auto"/>
      </w:pPr>
      <w:r>
        <w:rPr>
          <w:rFonts w:ascii="Calibri" w:hAnsi="Calibri"/>
          <w:b/>
          <w:color w:val="075DAA"/>
          <w:sz w:val="28"/>
        </w:rPr>
        <w:t>Before requesting a quotation</w:t>
      </w:r>
    </w:p>
    <w:p>
      <w:pPr>
        <w:pStyle w:val="ListBullet"/>
        <w:spacing w:after="60"/>
      </w:pPr>
      <w:r>
        <w:rPr>
          <w:rFonts w:ascii="Calibri" w:hAnsi="Calibri"/>
          <w:b w:val="0"/>
          <w:color w:val="202020"/>
          <w:sz w:val="21"/>
        </w:rPr>
        <w:t>Describe the usage scenario and expected deployment environment.</w:t>
      </w:r>
    </w:p>
    <w:p>
      <w:pPr>
        <w:pStyle w:val="ListBullet"/>
        <w:spacing w:after="60"/>
      </w:pPr>
      <w:r>
        <w:rPr>
          <w:rFonts w:ascii="Calibri" w:hAnsi="Calibri"/>
          <w:b w:val="0"/>
          <w:color w:val="202020"/>
          <w:sz w:val="21"/>
        </w:rPr>
        <w:t>Indicate whether Wi-Fi, 4G or both are required.</w:t>
      </w:r>
    </w:p>
    <w:p>
      <w:pPr>
        <w:pStyle w:val="ListBullet"/>
        <w:spacing w:after="60"/>
      </w:pPr>
      <w:r>
        <w:rPr>
          <w:rFonts w:ascii="Calibri" w:hAnsi="Calibri"/>
          <w:b w:val="0"/>
          <w:color w:val="202020"/>
          <w:sz w:val="21"/>
        </w:rPr>
        <w:t>List language, audio, battery, enclosure and service expectations.</w:t>
      </w:r>
    </w:p>
    <w:p>
      <w:pPr>
        <w:pStyle w:val="ListBullet"/>
        <w:spacing w:after="60"/>
      </w:pPr>
      <w:r>
        <w:rPr>
          <w:rFonts w:ascii="Calibri" w:hAnsi="Calibri"/>
          <w:b w:val="0"/>
          <w:color w:val="202020"/>
          <w:sz w:val="21"/>
        </w:rPr>
        <w:t>Share expected quantity and target project schedule.</w:t>
      </w:r>
    </w:p>
    <w:p>
      <w:pPr>
        <w:spacing w:after="60" w:line="264" w:lineRule="auto"/>
      </w:pPr>
      <w:r>
        <w:rPr>
          <w:rFonts w:ascii="Calibri" w:hAnsi="Calibri"/>
          <w:b/>
          <w:color w:val="06264A"/>
          <w:sz w:val="24"/>
        </w:rPr>
        <w:t>Important note</w:t>
      </w:r>
    </w:p>
    <w:p>
      <w:pPr>
        <w:spacing w:after="0" w:line="264" w:lineRule="auto"/>
      </w:pPr>
      <w:r>
        <w:rPr>
          <w:rFonts w:ascii="Calibri" w:hAnsi="Calibri"/>
          <w:b w:val="0"/>
          <w:color w:val="5D6B78"/>
          <w:sz w:val="20"/>
        </w:rPr>
        <w:t>This is a clean product overview, not a final technical specification. No processor, memory, battery, connectivity, certification or performance claim is made until the applicable configuration is reviewed and confirmed in writing.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52" w:right="1224" w:bottom="1152" w:left="1224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color w:val="5D6B78"/>
        <w:sz w:val="16"/>
      </w:rPr>
      <w:t>Shenzhen Vencreat Technology Co., Ltd.  |  www.vencreat.com  |  andywei@vencreat.com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color w:val="075DAA"/>
        <w:sz w:val="17"/>
      </w:rPr>
      <w:t>VENCREAT  |  PRODUCT OVERVIEW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Vencreat AI Companion Hardware Platform - Product Overview</dc:title>
  <dc:subject/>
  <dc:creator>Vencreat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